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Pr="00E04EA2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45A4F637" w:rsidR="008823BA" w:rsidRPr="00E04EA2" w:rsidRDefault="00E51A89" w:rsidP="00034A0E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Директор</w:t>
      </w:r>
    </w:p>
    <w:p w14:paraId="34135BF0" w14:textId="1302A53C" w:rsidR="0053186F" w:rsidRDefault="008823BA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r w:rsidR="0053186F">
        <w:rPr>
          <w:rFonts w:ascii="Times New Roman" w:hAnsi="Times New Roman" w:cs="Times New Roman"/>
          <w:b/>
        </w:rPr>
        <w:t>Городская клиническая больница№8</w:t>
      </w:r>
    </w:p>
    <w:p w14:paraId="7906C11C" w14:textId="1BD5B668" w:rsidR="008823BA" w:rsidRDefault="0053186F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УОЗ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лматы</w:t>
      </w:r>
      <w:proofErr w:type="spellEnd"/>
      <w:r w:rsidR="00E64A1D">
        <w:rPr>
          <w:rFonts w:ascii="Times New Roman" w:hAnsi="Times New Roman" w:cs="Times New Roman"/>
          <w:b/>
        </w:rPr>
        <w:t>»</w:t>
      </w:r>
    </w:p>
    <w:p w14:paraId="13CEFF28" w14:textId="3E2452C2" w:rsidR="008823BA" w:rsidRDefault="007F27BF" w:rsidP="0031509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E51A89">
        <w:rPr>
          <w:rFonts w:ascii="Times New Roman" w:hAnsi="Times New Roman" w:cs="Times New Roman"/>
          <w:b/>
          <w:lang w:val="kk-KZ"/>
        </w:rPr>
        <w:t xml:space="preserve"> Бейсенбеков С.З.</w:t>
      </w: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65B39F20" w:rsidR="00954C83" w:rsidRPr="00FA7E7F" w:rsidRDefault="00690A37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</w:t>
      </w:r>
      <w:r w:rsidR="005057A0">
        <w:rPr>
          <w:rFonts w:ascii="Times New Roman" w:hAnsi="Times New Roman" w:cs="Times New Roman"/>
          <w:b/>
        </w:rPr>
        <w:t>явлени</w:t>
      </w:r>
      <w:proofErr w:type="spellEnd"/>
      <w:r w:rsidR="005057A0"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E72C53" w:rsidRPr="00FA7E7F">
        <w:rPr>
          <w:rFonts w:ascii="Times New Roman" w:hAnsi="Times New Roman" w:cs="Times New Roman"/>
          <w:b/>
        </w:rPr>
        <w:t>9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0D65824C" w:rsidR="00BE35F6" w:rsidRPr="00E64A1D" w:rsidRDefault="003D21C9" w:rsidP="008C20D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A36E0" w:rsidRPr="00E64A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Городская клиническая больница №8</w:t>
            </w:r>
            <w:r w:rsidR="00CA36E0" w:rsidRPr="00E64A1D">
              <w:rPr>
                <w:rFonts w:ascii="Times New Roman" w:hAnsi="Times New Roman" w:cs="Times New Roman"/>
                <w:shd w:val="clear" w:color="auto" w:fill="FFFFFF"/>
              </w:rPr>
              <w:t>УОЗ г.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Алматы</w:t>
            </w:r>
            <w:r w:rsidR="00727010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(сайт </w:t>
            </w:r>
            <w:r w:rsidR="00E64A1D">
              <w:rPr>
                <w:rFonts w:ascii="Times New Roman" w:hAnsi="Times New Roman" w:cs="Times New Roman"/>
                <w:u w:val="single"/>
                <w:lang w:val="en-US"/>
              </w:rPr>
              <w:t>www</w:t>
            </w:r>
            <w:r w:rsidR="00E64A1D" w:rsidRPr="00E64A1D">
              <w:rPr>
                <w:rFonts w:ascii="Times New Roman" w:hAnsi="Times New Roman" w:cs="Times New Roman"/>
                <w:u w:val="single"/>
              </w:rPr>
              <w:t>.almaty-gkb8.kz</w:t>
            </w:r>
            <w:r w:rsidR="005A5D7A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proofErr w:type="spellStart"/>
            <w:r w:rsidR="00304889" w:rsidRPr="008C20D2">
              <w:rPr>
                <w:rFonts w:ascii="Times New Roman" w:hAnsi="Times New Roman" w:cs="Times New Roman"/>
                <w:shd w:val="clear" w:color="auto" w:fill="F7F7F7"/>
                <w:lang w:val="en-US"/>
              </w:rPr>
              <w:t>g</w:t>
            </w:r>
            <w:r w:rsidR="008C20D2">
              <w:rPr>
                <w:rFonts w:ascii="Times New Roman" w:hAnsi="Times New Roman" w:cs="Times New Roman"/>
                <w:shd w:val="clear" w:color="auto" w:fill="F7F7F7"/>
                <w:lang w:val="en-US"/>
              </w:rPr>
              <w:t>kb</w:t>
            </w:r>
            <w:proofErr w:type="spellEnd"/>
            <w:r w:rsidR="008C20D2" w:rsidRPr="008C20D2">
              <w:rPr>
                <w:rFonts w:ascii="Times New Roman" w:hAnsi="Times New Roman" w:cs="Times New Roman"/>
                <w:shd w:val="clear" w:color="auto" w:fill="F7F7F7"/>
              </w:rPr>
              <w:t>8@</w:t>
            </w:r>
            <w:r w:rsidR="008C20D2">
              <w:rPr>
                <w:rFonts w:ascii="Times New Roman" w:hAnsi="Times New Roman" w:cs="Times New Roman"/>
                <w:shd w:val="clear" w:color="auto" w:fill="F7F7F7"/>
                <w:lang w:val="en-US"/>
              </w:rPr>
              <w:t>mail</w:t>
            </w:r>
            <w:r w:rsidR="008C20D2" w:rsidRPr="008C20D2">
              <w:rPr>
                <w:rFonts w:ascii="Times New Roman" w:hAnsi="Times New Roman" w:cs="Times New Roman"/>
                <w:shd w:val="clear" w:color="auto" w:fill="F7F7F7"/>
              </w:rPr>
              <w:t>.</w:t>
            </w:r>
            <w:proofErr w:type="spellStart"/>
            <w:r w:rsidR="008C20D2">
              <w:rPr>
                <w:rFonts w:ascii="Times New Roman" w:hAnsi="Times New Roman" w:cs="Times New Roman"/>
                <w:shd w:val="clear" w:color="auto" w:fill="F7F7F7"/>
                <w:lang w:val="en-US"/>
              </w:rPr>
              <w:t>kz</w:t>
            </w:r>
            <w:proofErr w:type="spellEnd"/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) объявляет </w:t>
            </w:r>
            <w:r w:rsidR="00DA79E9" w:rsidRPr="00E64A1D">
              <w:rPr>
                <w:rFonts w:ascii="Times New Roman" w:hAnsi="Times New Roman" w:cs="Times New Roman"/>
              </w:rPr>
              <w:t>закуп</w:t>
            </w:r>
            <w:r w:rsidR="00C07A1C" w:rsidRPr="00E64A1D">
              <w:rPr>
                <w:rFonts w:ascii="Times New Roman" w:hAnsi="Times New Roman" w:cs="Times New Roman"/>
              </w:rPr>
              <w:t xml:space="preserve"> </w:t>
            </w:r>
            <w:r w:rsidR="00BE0043" w:rsidRPr="00E64A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изделий медицинского назначения </w:t>
            </w:r>
            <w:r w:rsidR="00DA79E9" w:rsidRPr="00E64A1D">
              <w:rPr>
                <w:rFonts w:ascii="Times New Roman" w:hAnsi="Times New Roman" w:cs="Times New Roman"/>
              </w:rPr>
              <w:t xml:space="preserve"> способом запроса ценовых предложений 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в соответствии Главы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 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“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”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 w:rsidRPr="00E64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Правила) 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432CDA" w:rsidRPr="00740277" w14:paraId="1955E45B" w14:textId="77777777" w:rsidTr="002E079E">
        <w:tc>
          <w:tcPr>
            <w:tcW w:w="4112" w:type="dxa"/>
          </w:tcPr>
          <w:p w14:paraId="5362CD11" w14:textId="77777777" w:rsidR="00432CDA" w:rsidRPr="004F4E3E" w:rsidRDefault="00432CDA" w:rsidP="00432CD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  <w:vAlign w:val="center"/>
          </w:tcPr>
          <w:p w14:paraId="1061F738" w14:textId="51C2344F" w:rsidR="00432CDA" w:rsidRPr="00432CDA" w:rsidRDefault="00432CDA" w:rsidP="00432CDA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14 920 000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,00 (</w:t>
            </w:r>
            <w:r w:rsidRPr="00432CDA">
              <w:rPr>
                <w:rFonts w:ascii="Times New Roman" w:eastAsia="Times New Roman" w:hAnsi="Times New Roman" w:cs="Times New Roman"/>
                <w:lang w:val="kk-KZ" w:eastAsia="ru-RU"/>
              </w:rPr>
              <w:t>Четырнадцать миллионов девятьсот двадцать тысяч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) 00 тенге</w:t>
            </w:r>
          </w:p>
        </w:tc>
      </w:tr>
      <w:tr w:rsidR="00432CDA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432CDA" w:rsidRPr="004F4E3E" w:rsidRDefault="00432CDA" w:rsidP="00432CD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4E82A359" w:rsidR="00432CDA" w:rsidRPr="004F4E3E" w:rsidRDefault="00432CDA" w:rsidP="00432CDA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30 </w:t>
            </w:r>
            <w:r>
              <w:rPr>
                <w:rFonts w:ascii="Times New Roman" w:hAnsi="Times New Roman"/>
                <w:color w:val="000000"/>
              </w:rPr>
              <w:t xml:space="preserve">календарных 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товара. </w:t>
            </w:r>
          </w:p>
        </w:tc>
      </w:tr>
      <w:tr w:rsidR="00432CDA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432CDA" w:rsidRPr="004F4E3E" w:rsidRDefault="00432CDA" w:rsidP="00432CD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432CDA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432CDA" w:rsidRPr="004F4E3E" w:rsidRDefault="00432CDA" w:rsidP="00432CDA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432CDA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432CDA" w:rsidRPr="004F4E3E" w:rsidRDefault="00432CDA" w:rsidP="00432CD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432CDA" w:rsidRPr="00740277" w14:paraId="1B97C3FB" w14:textId="77777777" w:rsidTr="00BD36D4">
        <w:tc>
          <w:tcPr>
            <w:tcW w:w="15594" w:type="dxa"/>
            <w:gridSpan w:val="2"/>
          </w:tcPr>
          <w:p w14:paraId="5034FB41" w14:textId="20923077" w:rsidR="00432CDA" w:rsidRPr="009F6439" w:rsidRDefault="00432CDA" w:rsidP="00432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  изделий медицинского назначения</w:t>
            </w:r>
          </w:p>
        </w:tc>
      </w:tr>
      <w:tr w:rsidR="00432CDA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432CDA" w:rsidRPr="004F4E3E" w:rsidRDefault="00432CDA" w:rsidP="00432CD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432CDA" w:rsidRPr="00740277" w14:paraId="45DA3C39" w14:textId="77777777" w:rsidTr="00BD36D4">
        <w:tc>
          <w:tcPr>
            <w:tcW w:w="15594" w:type="dxa"/>
            <w:gridSpan w:val="2"/>
          </w:tcPr>
          <w:p w14:paraId="07F4652E" w14:textId="46BE1395" w:rsidR="00432CDA" w:rsidRPr="004F4E3E" w:rsidRDefault="00F5637E" w:rsidP="00432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19 декаб</w:t>
            </w:r>
            <w:proofErr w:type="spellStart"/>
            <w:r w:rsidR="00432CDA">
              <w:rPr>
                <w:rFonts w:ascii="Times New Roman" w:hAnsi="Times New Roman" w:cs="Times New Roman"/>
              </w:rPr>
              <w:t>ря</w:t>
            </w:r>
            <w:proofErr w:type="spellEnd"/>
            <w:r w:rsidR="00432CDA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32CDA" w:rsidRPr="00E04EA2">
              <w:rPr>
                <w:rFonts w:ascii="Times New Roman" w:hAnsi="Times New Roman" w:cs="Times New Roman"/>
              </w:rPr>
              <w:t>202</w:t>
            </w:r>
            <w:r w:rsidR="00432CDA">
              <w:rPr>
                <w:rFonts w:ascii="Times New Roman" w:hAnsi="Times New Roman" w:cs="Times New Roman"/>
                <w:lang w:val="kk-KZ"/>
              </w:rPr>
              <w:t>4</w:t>
            </w:r>
            <w:r w:rsidR="00432CDA" w:rsidRPr="00E04EA2">
              <w:rPr>
                <w:rFonts w:ascii="Times New Roman" w:hAnsi="Times New Roman" w:cs="Times New Roman"/>
              </w:rPr>
              <w:t xml:space="preserve"> год</w:t>
            </w:r>
            <w:r w:rsidR="00432CDA">
              <w:rPr>
                <w:rFonts w:ascii="Times New Roman" w:hAnsi="Times New Roman" w:cs="Times New Roman"/>
              </w:rPr>
              <w:t xml:space="preserve"> </w:t>
            </w:r>
            <w:r w:rsidR="00432CDA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32CDA">
              <w:rPr>
                <w:rFonts w:ascii="Times New Roman" w:hAnsi="Times New Roman" w:cs="Times New Roman"/>
                <w:lang w:val="kk-KZ"/>
              </w:rPr>
              <w:t xml:space="preserve">, с </w:t>
            </w:r>
            <w:r w:rsidR="00432CDA" w:rsidRPr="00E04EA2">
              <w:rPr>
                <w:rFonts w:ascii="Times New Roman" w:hAnsi="Times New Roman" w:cs="Times New Roman"/>
                <w:lang w:val="kk-KZ"/>
              </w:rPr>
              <w:t>09 часов 00 мин.</w:t>
            </w:r>
            <w:r w:rsidR="00432CDA" w:rsidRPr="00E04EA2">
              <w:rPr>
                <w:rFonts w:ascii="Times New Roman" w:hAnsi="Times New Roman" w:cs="Times New Roman"/>
              </w:rPr>
              <w:t xml:space="preserve"> </w:t>
            </w:r>
            <w:r w:rsidR="00432CDA" w:rsidRPr="00E04EA2">
              <w:rPr>
                <w:rFonts w:ascii="Times New Roman" w:hAnsi="Times New Roman" w:cs="Times New Roman"/>
                <w:lang w:val="kk-KZ"/>
              </w:rPr>
              <w:t xml:space="preserve">до 17 ч.00 мин за исключением выходных и праздничных дней </w:t>
            </w:r>
          </w:p>
        </w:tc>
      </w:tr>
      <w:tr w:rsidR="00432CDA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432CDA" w:rsidRPr="004F4E3E" w:rsidRDefault="00432CDA" w:rsidP="00432CD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 xml:space="preserve">Срок окончания приема заявок </w:t>
            </w:r>
          </w:p>
        </w:tc>
      </w:tr>
      <w:tr w:rsidR="00432CDA" w:rsidRPr="00740277" w14:paraId="3E4AD40D" w14:textId="77777777" w:rsidTr="00BD36D4">
        <w:tc>
          <w:tcPr>
            <w:tcW w:w="15594" w:type="dxa"/>
            <w:gridSpan w:val="2"/>
          </w:tcPr>
          <w:p w14:paraId="149BF676" w14:textId="71281086" w:rsidR="00432CDA" w:rsidRPr="003C3265" w:rsidRDefault="00432CDA" w:rsidP="00432CD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Ценовые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Pr="004F4E3E">
              <w:rPr>
                <w:rFonts w:ascii="Times New Roman" w:hAnsi="Times New Roman" w:cs="Times New Roman"/>
              </w:rPr>
              <w:t xml:space="preserve"> район, </w:t>
            </w:r>
            <w:r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Pr="004F4E3E">
              <w:rPr>
                <w:rFonts w:ascii="Times New Roman" w:hAnsi="Times New Roman" w:cs="Times New Roman"/>
                <w:lang w:val="kk-KZ"/>
              </w:rPr>
              <w:t xml:space="preserve">Акан </w:t>
            </w:r>
            <w:r w:rsidRPr="004F4E3E">
              <w:rPr>
                <w:rFonts w:ascii="Times New Roman" w:hAnsi="Times New Roman" w:cs="Times New Roman"/>
                <w:lang w:val="kk-KZ"/>
              </w:rPr>
              <w:lastRenderedPageBreak/>
              <w:t>Серы 36А</w:t>
            </w:r>
            <w:r>
              <w:rPr>
                <w:rFonts w:ascii="Times New Roman" w:hAnsi="Times New Roman" w:cs="Times New Roman"/>
                <w:b/>
                <w:spacing w:val="2"/>
                <w:lang w:val="kk-KZ"/>
              </w:rPr>
              <w:t xml:space="preserve"> кабинет отдела государственных 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pacing w:val="2"/>
                <w:lang w:val="kk-KZ"/>
              </w:rPr>
              <w:t>купок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Окончательный срок подачи ценовых предложений – 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F5637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  <w:r w:rsidR="00FA7E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FA7E7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декаб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ря</w:t>
            </w:r>
            <w:proofErr w:type="spellEnd"/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432CDA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432CDA" w:rsidRPr="004F4E3E" w:rsidRDefault="00432CDA" w:rsidP="00432CD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432CDA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2FC97137" w:rsidR="00432CDA" w:rsidRPr="004F4E3E" w:rsidRDefault="00F5637E" w:rsidP="00432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  <w:r w:rsidR="00FA7E7F">
              <w:rPr>
                <w:rFonts w:ascii="Times New Roman" w:hAnsi="Times New Roman" w:cs="Times New Roman"/>
                <w:lang w:val="kk-KZ"/>
              </w:rPr>
              <w:t xml:space="preserve"> декаб</w:t>
            </w:r>
            <w:r w:rsidR="00432CDA">
              <w:rPr>
                <w:rFonts w:ascii="Times New Roman" w:hAnsi="Times New Roman" w:cs="Times New Roman"/>
                <w:lang w:val="kk-KZ"/>
              </w:rPr>
              <w:t xml:space="preserve">ря  </w:t>
            </w:r>
            <w:r w:rsidR="00432CDA" w:rsidRPr="004F4E3E">
              <w:rPr>
                <w:rFonts w:ascii="Times New Roman" w:hAnsi="Times New Roman" w:cs="Times New Roman"/>
              </w:rPr>
              <w:t>202</w:t>
            </w:r>
            <w:r w:rsidR="00432CDA">
              <w:rPr>
                <w:rFonts w:ascii="Times New Roman" w:hAnsi="Times New Roman" w:cs="Times New Roman"/>
                <w:lang w:val="kk-KZ"/>
              </w:rPr>
              <w:t>4</w:t>
            </w:r>
            <w:r w:rsidR="00432CDA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32CDA" w:rsidRPr="004F4E3E">
              <w:rPr>
                <w:rFonts w:ascii="Times New Roman" w:hAnsi="Times New Roman" w:cs="Times New Roman"/>
              </w:rPr>
              <w:t>год 1</w:t>
            </w:r>
            <w:r w:rsidR="00432CDA">
              <w:rPr>
                <w:rFonts w:ascii="Times New Roman" w:hAnsi="Times New Roman" w:cs="Times New Roman"/>
              </w:rPr>
              <w:t>1</w:t>
            </w:r>
            <w:r w:rsidR="00432CDA" w:rsidRPr="004F4E3E">
              <w:rPr>
                <w:rFonts w:ascii="Times New Roman" w:hAnsi="Times New Roman" w:cs="Times New Roman"/>
              </w:rPr>
              <w:t xml:space="preserve"> часов 00 минут, </w:t>
            </w:r>
            <w:r w:rsidR="00432CDA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432CDA" w:rsidRPr="004F4E3E">
              <w:rPr>
                <w:rFonts w:ascii="Times New Roman" w:hAnsi="Times New Roman" w:cs="Times New Roman"/>
              </w:rPr>
              <w:t xml:space="preserve"> г. Алматы, </w:t>
            </w:r>
            <w:r w:rsidR="00432CDA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32CDA" w:rsidRPr="004F4E3E">
              <w:rPr>
                <w:rFonts w:ascii="Times New Roman" w:hAnsi="Times New Roman" w:cs="Times New Roman"/>
              </w:rPr>
              <w:t xml:space="preserve"> </w:t>
            </w:r>
            <w:r w:rsidR="00432CDA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432CDA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432CDA">
              <w:rPr>
                <w:rFonts w:ascii="Times New Roman" w:hAnsi="Times New Roman" w:cs="Times New Roman"/>
                <w:spacing w:val="2"/>
                <w:lang w:val="kk-KZ"/>
              </w:rPr>
              <w:t>кабинет отдела государственных закупок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379"/>
        <w:gridCol w:w="992"/>
        <w:gridCol w:w="1276"/>
        <w:gridCol w:w="1418"/>
        <w:gridCol w:w="1559"/>
      </w:tblGrid>
      <w:tr w:rsidR="000E09CD" w:rsidRPr="005057A0" w14:paraId="23045CF3" w14:textId="77777777" w:rsidTr="00432CDA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379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992" w:type="dxa"/>
            <w:hideMark/>
          </w:tcPr>
          <w:p w14:paraId="6C174C3B" w14:textId="4F0AB925" w:rsidR="000E09CD" w:rsidRPr="00432CDA" w:rsidRDefault="00432CDA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F7456F" w:rsidRPr="00690A37" w14:paraId="70AB9740" w14:textId="77777777" w:rsidTr="00432CDA">
        <w:trPr>
          <w:trHeight w:val="150"/>
        </w:trPr>
        <w:tc>
          <w:tcPr>
            <w:tcW w:w="567" w:type="dxa"/>
            <w:vAlign w:val="center"/>
          </w:tcPr>
          <w:p w14:paraId="0D43B66B" w14:textId="27903C33" w:rsidR="00F7456F" w:rsidRPr="00696B64" w:rsidRDefault="008C20D2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79B9E7FB" w14:textId="1AEC0C54" w:rsidR="00F7456F" w:rsidRPr="00696B64" w:rsidRDefault="00E72C53" w:rsidP="0091562F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E0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Набор хирургических инструментов общего назначения</w:t>
            </w:r>
          </w:p>
        </w:tc>
        <w:tc>
          <w:tcPr>
            <w:tcW w:w="6379" w:type="dxa"/>
            <w:vAlign w:val="center"/>
          </w:tcPr>
          <w:p w14:paraId="6C058277" w14:textId="302B333A" w:rsidR="00F7456F" w:rsidRPr="00E72C53" w:rsidRDefault="00E72C53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D11">
              <w:rPr>
                <w:rFonts w:ascii="Times New Roman" w:hAnsi="Times New Roman" w:cs="Times New Roman"/>
              </w:rPr>
              <w:t xml:space="preserve">Щипцы для проводки дренажа </w:t>
            </w:r>
            <w:proofErr w:type="spellStart"/>
            <w:r w:rsidRPr="007A3D11">
              <w:rPr>
                <w:rFonts w:ascii="Times New Roman" w:hAnsi="Times New Roman" w:cs="Times New Roman"/>
              </w:rPr>
              <w:t>двухшарнирные</w:t>
            </w:r>
            <w:proofErr w:type="spellEnd"/>
            <w:r w:rsidRPr="007A3D11">
              <w:rPr>
                <w:rFonts w:ascii="Times New Roman" w:hAnsi="Times New Roman" w:cs="Times New Roman"/>
              </w:rPr>
              <w:t xml:space="preserve"> с промежуточным подвижным звеном. Шарниры приводятся в движение с помощью рукояток, последнее-от промежуточного звена. Рабочая часть прямая, имеет ребристую поверхность </w:t>
            </w:r>
            <w:proofErr w:type="spellStart"/>
            <w:r w:rsidRPr="007A3D11">
              <w:rPr>
                <w:rFonts w:ascii="Times New Roman" w:hAnsi="Times New Roman" w:cs="Times New Roman"/>
              </w:rPr>
              <w:t>оливообразной</w:t>
            </w:r>
            <w:proofErr w:type="spellEnd"/>
            <w:r w:rsidRPr="007A3D11">
              <w:rPr>
                <w:rFonts w:ascii="Times New Roman" w:hAnsi="Times New Roman" w:cs="Times New Roman"/>
              </w:rPr>
              <w:t xml:space="preserve"> формы, размер рабочей части по осям 25х5мм. Общая длина 240 мм. Ширина раскрытия </w:t>
            </w:r>
            <w:proofErr w:type="gramStart"/>
            <w:r w:rsidRPr="007A3D11">
              <w:rPr>
                <w:rFonts w:ascii="Times New Roman" w:hAnsi="Times New Roman" w:cs="Times New Roman"/>
              </w:rPr>
              <w:t>рабочей</w:t>
            </w:r>
            <w:proofErr w:type="gramEnd"/>
            <w:r w:rsidRPr="007A3D11">
              <w:rPr>
                <w:rFonts w:ascii="Times New Roman" w:hAnsi="Times New Roman" w:cs="Times New Roman"/>
              </w:rPr>
              <w:t xml:space="preserve"> до 110мм. Расход момента перекрестной  части до 70мм.  Материал изготовления: высоколегированная нержавеющая сталь в антибликовом (матовом) исполнении с показателями твердости не менее 57 единиц по шкале </w:t>
            </w:r>
            <w:proofErr w:type="spellStart"/>
            <w:r w:rsidRPr="007A3D11">
              <w:rPr>
                <w:rFonts w:ascii="Times New Roman" w:hAnsi="Times New Roman" w:cs="Times New Roman"/>
              </w:rPr>
              <w:t>Роквелла</w:t>
            </w:r>
            <w:proofErr w:type="spellEnd"/>
            <w:r w:rsidRPr="007A3D11">
              <w:rPr>
                <w:rFonts w:ascii="Times New Roman" w:hAnsi="Times New Roman" w:cs="Times New Roman"/>
              </w:rPr>
              <w:t xml:space="preserve">. Маркировка должна быть выполнена лазерным способом и включать в себя наименование или фирменный знак производителя, каталожный номер, индивидуальный номер партии. Инструмент должен иметь индивидуальную упаковку и инструкцию на русском  и казахском языках. Гарантийный срок эксплуатации - не менее 1 года. </w:t>
            </w:r>
            <w:r w:rsidRPr="007A3D11">
              <w:rPr>
                <w:rFonts w:ascii="Times New Roman" w:eastAsia="Times New Roman" w:hAnsi="Times New Roman" w:cs="Times New Roman"/>
                <w:lang w:eastAsia="ru-RU"/>
              </w:rPr>
              <w:t>Зеркало-1шт. Зеркало Г-</w:t>
            </w:r>
            <w:proofErr w:type="spellStart"/>
            <w:r w:rsidRPr="007A3D11">
              <w:rPr>
                <w:rFonts w:ascii="Times New Roman" w:eastAsia="Times New Roman" w:hAnsi="Times New Roman" w:cs="Times New Roman"/>
                <w:lang w:eastAsia="ru-RU"/>
              </w:rPr>
              <w:t>бразное</w:t>
            </w:r>
            <w:proofErr w:type="spellEnd"/>
            <w:r w:rsidRPr="007A3D11">
              <w:rPr>
                <w:rFonts w:ascii="Times New Roman" w:eastAsia="Times New Roman" w:hAnsi="Times New Roman" w:cs="Times New Roman"/>
                <w:lang w:eastAsia="ru-RU"/>
              </w:rPr>
              <w:t>, рабочая часть будет   в форме желоба с закрытым скруглённым концом, длина 85±2 мм, ширина 20±2 мм. Рукоятка зеркала плоская с загнутым краем, окончание рукоятки</w:t>
            </w:r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 xml:space="preserve"> крючкообразное с поворотом в сторону рабочей части. Общая длина инструмента не менее 185 мм и не более 195 мм. Материал:  высоколегированная нержавеющая сталь. Маркировка будет выполнена методом лазерной гравировки и </w:t>
            </w:r>
            <w:proofErr w:type="gramStart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и казахском языках. Гарантийный срок эксплуатации не менее  12 мес. Зеркало-5шт. Зеркало Г-</w:t>
            </w:r>
            <w:proofErr w:type="spellStart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>бразное</w:t>
            </w:r>
            <w:proofErr w:type="spellEnd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 xml:space="preserve">, рабочая часть будет   в форме желоба с закрытым скруглённым концом, длина 104±4 мм, </w:t>
            </w:r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ширина 31±3 мм, Рукоятка зеркала плоская с загнутым краем, окончание рукоятки крючкообразное с поворотом в сторону рабочей части. Общая длина инструмента не менее 190 мм и не более 200 мм. Материал:  высоколегированная нержавеющая сталь. Маркировка будет выполнена методом лазерной гравировки и </w:t>
            </w:r>
            <w:proofErr w:type="gramStart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и казахском языках. Гарантийный срок эксплуатации не менее  12 мес</w:t>
            </w:r>
            <w:proofErr w:type="gramStart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>еркало-1шт. Зеркало  Г-</w:t>
            </w:r>
            <w:proofErr w:type="spellStart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>бразное</w:t>
            </w:r>
            <w:proofErr w:type="spellEnd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 xml:space="preserve">, рабочая часть будет в форме желоба с закрытым скруглённым концом, длина 105±2 мм, ширина 35±2 мм, Рукоятка зеркала плоская с загнутым краем, окончание рукоятки крючкообразное с поворотом в сторону рабочей части. Общая длина инструмента не менее 190 мм и не более 200 мм. Материал:  высоколегированная нержавеющая сталь. Маркировка будет выполнена методом лазерной гравировки и </w:t>
            </w:r>
            <w:proofErr w:type="gramStart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и казахском языках. Гарантийный срок эксплуатации не менее  12 мес</w:t>
            </w:r>
            <w:proofErr w:type="gramStart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 xml:space="preserve">етрактор-1шт. Ретрактор для зеркала гинекологического, будет изготовлен из цельной металлической пластины, рабочая часть  изогнута под углом 80ᴼ относительно рукоятки. Форма рабочей части плоская с закруглённым концом длиной 115±2 мм, шириной 23±2 мм. Рукоятка крючкообразная загнутая в сторону рабочей части. Общая длина не менее 205 мм и не более 215 мм. Материал изготовления: высоколегированная нержавеющая сталь </w:t>
            </w:r>
            <w:r w:rsidRPr="00FE0B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антибликовом (матовом) исполнении</w:t>
            </w:r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 xml:space="preserve"> с показателями твердости не менее 57 единиц по шкале </w:t>
            </w:r>
            <w:proofErr w:type="spellStart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>Роквелла</w:t>
            </w:r>
            <w:proofErr w:type="spellEnd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 xml:space="preserve">. Маркировка будет выполнена лазерным способом и </w:t>
            </w:r>
            <w:proofErr w:type="gramStart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>включать</w:t>
            </w:r>
            <w:proofErr w:type="gramEnd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 xml:space="preserve"> в себя наименование или фирменный знак производителя, каталожный номер, индивидуальный номер партии. Инструмент будет иметь инструкцию на русском и казахском языках. Гарантийный срок эксплуатации - не менее 1 года. Расширители (комплект)-5 комплектов. Расширители гинекологические. Комплект расширителей в виде стержня, овальной формы, с </w:t>
            </w:r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закругленным концом: с № 3 по № 13 шаг 0,5 мм; с №13 по №17 шаг 1,0 мм, 25 шт. в наборе. Общая длина каждого расширителя 195±10 мм. Материал:  высоколегированная нержавеющая сталь. Маркировка будет выполнена методом лазерной гравировки и </w:t>
            </w:r>
            <w:proofErr w:type="gramStart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 w:rsidRPr="00FE0BC5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и казахском языках. Гарантийный срок эксплуатации не менее  12 мес.</w:t>
            </w:r>
          </w:p>
        </w:tc>
        <w:tc>
          <w:tcPr>
            <w:tcW w:w="992" w:type="dxa"/>
            <w:vAlign w:val="center"/>
          </w:tcPr>
          <w:p w14:paraId="2A6AF9DB" w14:textId="7D786674" w:rsidR="00F7456F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65000C51" w14:textId="61B6B1D6" w:rsidR="00F7456F" w:rsidRPr="00696B64" w:rsidRDefault="00E72C53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набор</w:t>
            </w:r>
          </w:p>
        </w:tc>
        <w:tc>
          <w:tcPr>
            <w:tcW w:w="1418" w:type="dxa"/>
            <w:vAlign w:val="center"/>
          </w:tcPr>
          <w:p w14:paraId="4DE55D63" w14:textId="5C77D6E6" w:rsidR="00F7456F" w:rsidRPr="00696B64" w:rsidRDefault="00432CDA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5 520 000,00</w:t>
            </w:r>
          </w:p>
        </w:tc>
        <w:tc>
          <w:tcPr>
            <w:tcW w:w="1559" w:type="dxa"/>
            <w:vAlign w:val="center"/>
          </w:tcPr>
          <w:p w14:paraId="733C7042" w14:textId="1BA02F0E" w:rsidR="00F7456F" w:rsidRPr="00696B64" w:rsidRDefault="00432CDA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5 520 000,00</w:t>
            </w:r>
          </w:p>
        </w:tc>
      </w:tr>
      <w:tr w:rsidR="00F7456F" w:rsidRPr="00690A37" w14:paraId="3AF86D6C" w14:textId="77777777" w:rsidTr="00432CDA">
        <w:trPr>
          <w:trHeight w:val="375"/>
        </w:trPr>
        <w:tc>
          <w:tcPr>
            <w:tcW w:w="567" w:type="dxa"/>
            <w:vAlign w:val="center"/>
          </w:tcPr>
          <w:p w14:paraId="5AA5DEDD" w14:textId="1635F605" w:rsidR="00F7456F" w:rsidRPr="00696B64" w:rsidRDefault="008C20D2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2</w:t>
            </w:r>
          </w:p>
        </w:tc>
        <w:tc>
          <w:tcPr>
            <w:tcW w:w="3261" w:type="dxa"/>
            <w:vAlign w:val="center"/>
          </w:tcPr>
          <w:p w14:paraId="38B3A742" w14:textId="77777777" w:rsidR="00432CDA" w:rsidRPr="00FE0BC5" w:rsidRDefault="00432CDA" w:rsidP="00432C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0B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Набор хирургических инструментов общего назначения </w:t>
            </w:r>
          </w:p>
          <w:p w14:paraId="2863B760" w14:textId="2425B7FF" w:rsidR="00484830" w:rsidRPr="00696B64" w:rsidRDefault="00484830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6379" w:type="dxa"/>
            <w:vAlign w:val="center"/>
          </w:tcPr>
          <w:p w14:paraId="147EB7B8" w14:textId="134046D1" w:rsidR="00F7456F" w:rsidRPr="00696B64" w:rsidRDefault="00432CDA" w:rsidP="00B6571D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7A3D11">
              <w:rPr>
                <w:rFonts w:ascii="Times New Roman" w:hAnsi="Times New Roman" w:cs="Times New Roman"/>
              </w:rPr>
              <w:t>Зажим-1шт</w:t>
            </w:r>
            <w:proofErr w:type="gramStart"/>
            <w:r w:rsidRPr="007A3D11">
              <w:rPr>
                <w:rFonts w:ascii="Times New Roman" w:hAnsi="Times New Roman" w:cs="Times New Roman"/>
              </w:rPr>
              <w:t>.З</w:t>
            </w:r>
            <w:proofErr w:type="gramEnd"/>
            <w:r w:rsidRPr="007A3D11">
              <w:rPr>
                <w:rFonts w:ascii="Times New Roman" w:hAnsi="Times New Roman" w:cs="Times New Roman"/>
              </w:rPr>
              <w:t xml:space="preserve">ажим захватывающий с декомпрессионным пружинящим кольцом, ограничивающим захват материала при операции. Общая длина 150 мм, размер ограничителя по радиусу 24 мм от момента крепления, высота рабочего поля  50 мм. Тип рабочей части - изогнутый вдоль оси с горизонтальной насечкой, захватывающий момент не более 30мм. Материал изготовления: высоколегированная нержавеющая сталь в антибликовом (матовом) исполнении с показателями твердости не менее 57 единиц по шкале </w:t>
            </w:r>
            <w:proofErr w:type="spellStart"/>
            <w:r w:rsidRPr="007A3D11">
              <w:rPr>
                <w:rFonts w:ascii="Times New Roman" w:hAnsi="Times New Roman" w:cs="Times New Roman"/>
              </w:rPr>
              <w:t>Роквелла</w:t>
            </w:r>
            <w:proofErr w:type="spellEnd"/>
            <w:r w:rsidRPr="007A3D11">
              <w:rPr>
                <w:rFonts w:ascii="Times New Roman" w:hAnsi="Times New Roman" w:cs="Times New Roman"/>
              </w:rPr>
              <w:t>. Маркировка должна быть выполнена лазерным способом и включать в себя наименование или фирменный знак производителя, каталожный номер, индивидуальный номер партии. Инструмент должен иметь индивидуальную упаковку и инструкцию на русском  и казахском языках. Гарантийный срок эксплуатации - не менее 1 года</w:t>
            </w:r>
            <w:r w:rsidRPr="007A3D11">
              <w:rPr>
                <w:rFonts w:ascii="Times New Roman" w:eastAsia="Times New Roman" w:hAnsi="Times New Roman" w:cs="Times New Roman"/>
                <w:lang w:eastAsia="ru-RU"/>
              </w:rPr>
              <w:t xml:space="preserve">  Кюретка-1шт. </w:t>
            </w:r>
            <w:proofErr w:type="spellStart"/>
            <w:r w:rsidRPr="007A3D11">
              <w:rPr>
                <w:rFonts w:ascii="Times New Roman" w:eastAsia="Times New Roman" w:hAnsi="Times New Roman" w:cs="Times New Roman"/>
                <w:lang w:eastAsia="ru-RU"/>
              </w:rPr>
              <w:t>Кюретка</w:t>
            </w:r>
            <w:proofErr w:type="spellEnd"/>
            <w:r w:rsidRPr="007A3D11">
              <w:rPr>
                <w:rFonts w:ascii="Times New Roman" w:eastAsia="Times New Roman" w:hAnsi="Times New Roman" w:cs="Times New Roman"/>
                <w:lang w:eastAsia="ru-RU"/>
              </w:rPr>
              <w:t xml:space="preserve"> маточная, острая, жесткая. Общая длина - 310 мм ± 5 мм. Рабочая часть петлевидная, размером: длина - 22,5 мм ± 1 мм, ширина – 16,0 мм. Рукоять четырехгранная, длиной 115 мм, шириной 17,5 мм. Материал изготовления: высоколегированная нержавеющая сталь </w:t>
            </w:r>
            <w:r w:rsidRPr="007A3D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антибликовом (матовом) исполнении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показателями твердости не менее 57 единиц по шкале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Роквелла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Маркировка будет   выполнена лазерным способом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включать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себя наименование или фирменный знак производителя, каталожный номер, индивидуальный номер партии. Инструмент будет иметь инструкцию на русском и казахском языках. Гарантийный срок эксплуатации - не менее 1 года. Кюретка-1шт.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Кюретка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маточная, острая, жесткая. Общая длина - 310 мм ± 5 мм. Рабочая часть петлевидная шириной – 20,0 мм. Рукоять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четырехгранная, длиной 115 мм, шириной 17,5 мм. Материал изготовления: высоколегированная нержавеющая сталь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антибликовом (матовом) исполнении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показателями твердости не менее 57 единиц по шкале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Роквелла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Маркировка будет   выполнена лазерным способом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включать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себя наименование или фирменный знак производителя, каталожный номер, индивидуальный номер партии. Инструмент будет иметь индивидуальную упаковку и инструкцию на русском  и казахском языках. Гарантийный срок эксплуатации - не менее 1 года. Щипцы-7шт. Щипцы гинекологические. Рабочие части  будут представлять собой тонкие зубцы 1х1, направленные друг на друга по форме клешни. Длина рабочей части 72±3 мм, ширина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браншей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 смыкании 13,9±0,5 мм, толщина 2±0,3 мм. Соединение неразъёмное, шириной 10±1 мм, толщиной 5,75±0,5 мм. Рукоятки кольцевые, будет иметь кремальеры. Общая длина не менее 245 мм и не более 250 мм.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и казахском языках. Гарантийный срок эксплуатации не менее  12 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юретка-5шт.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Кюретка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аспирации с канюлей. Рабочая часть прямая, будет   в виде  трубки  диаметром  - 8±0,1мм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Будет иметь в дистальной части специальных отверстий не менее – 3 шт.  Параметры  канюли- переходника:   длина  - 31±0,1 мм, диаметр у основания – 11±0,2 мм. Общая длина инструмента не менее 235 мм и не более 245 мм.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и казахском языках. Гарантийный срок эксплуатации не менее  12 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юретка-1шт.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Кюретка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маточная острая, ширина петли 7,5±1 мм, длина 18±1 мм. Рабочая длина 145±3 мм. Рукоятка плоская овальная с углублением в средней части. Общая длина инструмента 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менее 255 мм и не более 265  мм.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и казахском языках. Гарантийный срок эксплуатации не менее  12 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юретка-1шт.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Кюретка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аспирации с канюлей. Рабочая часть прямая, будет   в виде  трубки  диаметром  - 11±0,1мм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Будет иметь в дистальной части специальных отверстий не менее – 3 шт.   Общая длина инструмента не менее 235 мм и не более 245 мм.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и казахском языках. Гарантийный срок эксплуатации не менее  12 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юретка-1шт.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Кюретка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маточная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аспирации с канюлей. Рабочая часть прямая, будет   в виде  трубки  диаметром  - 6,0±0,1мм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Будет иметь в дистальной части специальных отверстий не менее – 3 шт.   Параметры  канюли- переходника:   длина  - 31,0±0,1 мм, диаметр у основания – 11±0,2 мм. Общая длина инструмента не менее 230 мм и не более 240 мм.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и казахском языках. Гарантийный срок эксплуатации не менее  12 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рючок-1шт. Крючок экстрактор для удаления внутриматочной спирали из полости матки без предварительного расширения цервикального канала. Инструмент представляет собой стержень. Рабочая часть с нарезкой прямая, другой конец стержня оформлен в виде ручки. Общая длина не менее 285 не более 300 мм.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информацию о производителе, каталожном номере изделия, индивидуальном номере партии. Инструмент будет иметь инструкцию на русском и казахском языках. Гарантийный срок эксплуатации не менее  12 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ажим-6шт. Зажим, рабочая часть 5х6 зубов, шириной 6,2±0,5 мм, толщина в сомкнутом состоянии 7,2±0,5 мм. Длина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браншей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50,5±2 мм. Соединение двух частей инструмента неразъёмное, ширина замковой части 7,2±0,5 мм, толщина 4,7±0,5 мм. Рукоятки кольцевые, будет иметь кремальеры. Общая длина инструмента не менее 150 мм и не более 160 мм.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и казахском языках. Гарантийный срок эксплуатации не менее  12 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ажим-5шт. Зажим для кишечника и желудка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окончатый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рабочая часть петлеобразная с поперечной насечкой на внутренней части. Размеры окна: длина 14,8±1 мм, ширина 8,3±0,5. Ширина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браншей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12,8±1 мм, длина насечки 23,5±1 мм. Рабочая длина 87,5±2 мм. Соединение инструмента неразъёмное. Замковая часть шириной 9,7±0,5 мм, толщиной 6±0,5 мм. Рукоятки кольцевые, будет иметь кремальеры. Общая длина инструмента не менее 240 мм и не более 250 мм.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и казахском языках. Гарантийный срок эксплуатации не менее  12 мес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ожницы-2шт. Ножницы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препаровальные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Рабочая часть будет   изогнута по вертикали относительно плоскости инструмента на 15,5±2 мм.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Бранши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будут   тупоконечными, ширина кончиков в сомкнутом состоянии 3,3±0,3 мм, толщина 2,2±0,3 мм, длина от винтового соединения до кончиков 61±3 мм. Толщина в месте соединения 6,5±0,5 мм. Рукоятки  будут   кольцевыми. Общая длина не менее 225 мм и не более 235 мм. Материал:  высоколегированная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и казахском языках. Гарантийный срок эксплуатации не менее  12 мес. Иглодержатель-2шт. Иглодержатель с твердосплавными вставками прямой.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Бранши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ромбовидной насечкой, ширина кончиков 2±0,2 мм, толщина в сомкнутом состоянии 2,5±0,3 мм, длина рабочей части 15,5±1 мм. Соединение двух частей инструмента неразъёмное шириной 7±0,5 мм, толщиной 4,2±0,5мм. Общая длина инструмента не менее 115 мм и не более 125 мм. Будет иметь зубчатой кремальеры. Маркировка твёрдого сплава будет   выражена напылением нитрида титана золотистого цвета на кольца.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языке и казахском языках. Гарантийный срок эксплуатации не менее  12 мес. Иглодержатель-2шт. Иглодержатель общехирургический прямой, будет   с твёрдосплавными пластинами, насечка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браншах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ромбовидная, ширина кончиков в сомкнутом состоянии 2,5±0,3 мм, толщина 3,5±0,5 мм, длина рабочей части 16±1 мм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,.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Соединение двух частей инструмента неразъёмное шириной 10,2±1 мм, толщиной 6,5±0,5 мм. Общая длина инструмента не менее 205 мм и не более 215 мм. Будет иметь зубчатой кремальеры. Маркировка твёрдого сплава будет   выражена напылением нитрида титана золотистого цвета на кольца.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языке и казахском языках. Гарантийный срок эксплуатации не менее  12 мес. Зажим-6шт. Зажим артериальный, будет   изогнутым по вертикали, с отклонением от оси инструмента 5,7±0,5 мм, рабочие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бранши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мелкозубчатой насечкой длиной 23±2 мм,  ширина кончиков в сомкнутом состоянии будет   1,25±0,3 мм, толщина 1,5±0,3 мм. Соединение будет   неразъёмным, ширина в месте соединения 6,5±0,5 мм, толщина 4±0,5 мм. Рукоятки  будут   кольцевыми с кремальерой 3х3 зуба. Общая длина инструмента не менее 150 мм и не более 160 мм.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языке и казахском языках. Гарантийный срок эксплуатации не менее  12 мес. Зажим-2шт. Зажим артериальный.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Бранши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будут   изогнутыми, отклонение от оси 12±1 мм, длиной 52±3 мм,  будут содержать поперечную насечку с шагом 0,9 мм. Ширина рабочей части в сомкнутом состоянии - 2,5±0,5 мм. Толщина кончиков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бранш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- 3±0,3 мм. Замковая часть: ширина - 8,1±1 мм, толщина - 5±0,5 мм. Будет иметь кремальеры. Общая длина инструмента не менее 195 мм и не более 205 мм.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языке и казахском языках. Гарантийный срок эксплуатации не менее  12 мес. Зажим-4шт. Зажим для операционного белья. Общая длина 150 мм ± 5 мм.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Бранши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изогнутые, острозубые, длиной 32 мм ± 2 мм. Ширина дистальной части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бранш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сомкнутом состоянии - 18 мм ± 1 мм. Толщина кончиков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бранш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- 1,5 мм ± 0,25 мм. Замковая часть: ширина 8,5 мм ± 1 мм, толщина 4,75 мм ± 1 мм. Отклонение от оси - 18 мм ± 1 мм. Будет иметь кремальеры.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языке и казахском языках. Гарантийный срок эксплуатации не менее  12 мес. Щипцы-10шт. Щипцы с прямыми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браншами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длиной 58±2 мм. Рабочая часть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овальной формы длиной 22±2 мм, на внутренней поверхности будет   поперечная насечка и продольное углубление, толщина кончиков при смыкании 5,5±0,5 мм. Соединение двух частей инструмента будет   неразъёмным. Ширина в месте соединения 10±0,5 мм, толщина 5,3±0,5 мм. Будет иметь кремальеры. Рукоятки  будут   кольцевыми. Общая длина инструмента не менее 255 мм и не более 265 мм.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языке и казахском языках. Гарантийный срок эксплуатации не менее  12 мес. Ножницы-2шт. Ножницы операционные. Ножницы  будут   прямые, с одним острым концом, длина рабочей части от винтового соединения до конца рабочей части  48 мм ± 5 мм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ширина лезвий в сомкнутом состоянии  6 мм ± 1,5  мм . Соединение винтовое, рукоятки кольцевые. Общая длина 125 мм ± 3,5 мм.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языке и казахском языках. Гарантийный срок эксплуатации не менее  12 мес. Пинцет-3шт. Пинцет для опухолей. Общая длина не менее 145 мм и не более 155 мм. Рабочая часть будет   овальной формы, шириной 5,6±0,5 мм, длиной 6,2±0,5 мм, с зубцами на внутренней поверхности с шагом 1,1±0,2 мм. Хвостовик плоский округлый шириной 10,5 мм, толщиной 3,2 мм. Материал:  высоколегированная нержавеющая сталь. Маркировка будет   выполнена методом лазерной гравировки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содержать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производителе, каталожном номере изделия, индивидуальном номере партии. Инструмент будет иметь инструкцию на русском языке и казахском языках. Гарантийный срок эксплуатации не менее  12 мес.</w:t>
            </w:r>
          </w:p>
        </w:tc>
        <w:tc>
          <w:tcPr>
            <w:tcW w:w="992" w:type="dxa"/>
            <w:vAlign w:val="center"/>
          </w:tcPr>
          <w:p w14:paraId="5C5AB927" w14:textId="57610B19" w:rsidR="00F7456F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1F7DE68F" w14:textId="43588EA4" w:rsidR="00F7456F" w:rsidRPr="00696B64" w:rsidRDefault="00432CDA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набор</w:t>
            </w:r>
          </w:p>
        </w:tc>
        <w:tc>
          <w:tcPr>
            <w:tcW w:w="1418" w:type="dxa"/>
            <w:vAlign w:val="center"/>
          </w:tcPr>
          <w:p w14:paraId="39D38AF3" w14:textId="51B3D58E" w:rsidR="00432CDA" w:rsidRPr="00432CDA" w:rsidRDefault="00432CDA" w:rsidP="00432CDA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3 970 000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,00</w:t>
            </w:r>
          </w:p>
          <w:p w14:paraId="3C02CA2D" w14:textId="3765073D" w:rsidR="00F7456F" w:rsidRPr="00696B64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1559" w:type="dxa"/>
            <w:vAlign w:val="center"/>
          </w:tcPr>
          <w:p w14:paraId="5212EC19" w14:textId="5F899E11" w:rsidR="00F7456F" w:rsidRPr="00432CDA" w:rsidRDefault="00432CDA" w:rsidP="00432CDA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3 970 000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,00</w:t>
            </w:r>
          </w:p>
        </w:tc>
      </w:tr>
      <w:tr w:rsidR="00432CDA" w:rsidRPr="00690A37" w14:paraId="344931E1" w14:textId="77777777" w:rsidTr="00432CDA">
        <w:trPr>
          <w:trHeight w:val="669"/>
        </w:trPr>
        <w:tc>
          <w:tcPr>
            <w:tcW w:w="567" w:type="dxa"/>
            <w:vAlign w:val="center"/>
          </w:tcPr>
          <w:p w14:paraId="1DCE622B" w14:textId="2240FCB3" w:rsidR="00432CDA" w:rsidRPr="00696B64" w:rsidRDefault="00432CDA" w:rsidP="00432C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3</w:t>
            </w:r>
          </w:p>
        </w:tc>
        <w:tc>
          <w:tcPr>
            <w:tcW w:w="3261" w:type="dxa"/>
            <w:vAlign w:val="center"/>
          </w:tcPr>
          <w:p w14:paraId="396DD0C1" w14:textId="77777777" w:rsidR="00432CDA" w:rsidRDefault="00432CDA" w:rsidP="00432C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Набор хирургических инструментов общего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назначения </w:t>
            </w:r>
          </w:p>
          <w:p w14:paraId="1198D67A" w14:textId="4EE13140" w:rsidR="00432CDA" w:rsidRPr="00696B64" w:rsidRDefault="00432CDA" w:rsidP="00432CDA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6379" w:type="dxa"/>
            <w:vAlign w:val="center"/>
          </w:tcPr>
          <w:p w14:paraId="2F68CB68" w14:textId="02F78AC3" w:rsidR="00432CDA" w:rsidRPr="00696B64" w:rsidRDefault="00432CDA" w:rsidP="00432CDA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D11">
              <w:rPr>
                <w:rFonts w:ascii="Times New Roman" w:hAnsi="Times New Roman" w:cs="Times New Roman"/>
              </w:rPr>
              <w:lastRenderedPageBreak/>
              <w:t>Иглодержатель-1шт</w:t>
            </w:r>
            <w:proofErr w:type="gramStart"/>
            <w:r w:rsidRPr="007A3D11">
              <w:rPr>
                <w:rFonts w:ascii="Times New Roman" w:hAnsi="Times New Roman" w:cs="Times New Roman"/>
              </w:rPr>
              <w:t>.И</w:t>
            </w:r>
            <w:proofErr w:type="gramEnd"/>
            <w:r w:rsidRPr="007A3D11">
              <w:rPr>
                <w:rFonts w:ascii="Times New Roman" w:hAnsi="Times New Roman" w:cs="Times New Roman"/>
              </w:rPr>
              <w:t xml:space="preserve">глодержатель общехирургический прямой. Общая длина - 205 мм ± 5 мм. Рабочая часть в форме алмазной </w:t>
            </w:r>
            <w:proofErr w:type="spellStart"/>
            <w:r w:rsidRPr="007A3D11">
              <w:rPr>
                <w:rFonts w:ascii="Times New Roman" w:hAnsi="Times New Roman" w:cs="Times New Roman"/>
              </w:rPr>
              <w:lastRenderedPageBreak/>
              <w:t>серрации</w:t>
            </w:r>
            <w:proofErr w:type="spellEnd"/>
            <w:r w:rsidRPr="007A3D11">
              <w:rPr>
                <w:rFonts w:ascii="Times New Roman" w:hAnsi="Times New Roman" w:cs="Times New Roman"/>
              </w:rPr>
              <w:t xml:space="preserve"> с внутренним углублением, длина которой 23мм, ширина смыкания 5мм, толщина - 2,74 мм. Наличие кремальеры 4х4 зуба с шагом 2,5 мм. Должен быть изготовлен из нержавеющей стали марки x20Cr13 (или эквивалент) с антибликовой поверхностью. </w:t>
            </w:r>
            <w:proofErr w:type="gramStart"/>
            <w:r w:rsidRPr="007A3D11">
              <w:rPr>
                <w:rFonts w:ascii="Times New Roman" w:hAnsi="Times New Roman" w:cs="Times New Roman"/>
              </w:rPr>
              <w:t>Для увеличенного срока эксплуатации на всем инструменте нанесено дополнительное декоративно-защитное тонкопленочное покрытие с плавным переходом от одного цвета к другому на основе</w:t>
            </w:r>
            <w:proofErr w:type="gramEnd"/>
            <w:r w:rsidRPr="007A3D11">
              <w:rPr>
                <w:rFonts w:ascii="Times New Roman" w:hAnsi="Times New Roman" w:cs="Times New Roman"/>
              </w:rPr>
              <w:t xml:space="preserve"> нитритов и оксидов титана, наносимое методом ионно-плазменной имплантации с применением различного сочетания реактивных газов, что повышает сопротивляемость к окислению. Маркировка должна быть выполнена лазерным способом и включать в себя наименование или фирменный знак производителя, каталожный номер, индивидуальный номер партии. Инструмент должен иметь индивидуальную упаковку и инструкцию на русском  и казахском языках. Гарантийный срок эксплуатации - не менее 1 года. </w:t>
            </w:r>
            <w:r w:rsidRPr="007A3D11">
              <w:rPr>
                <w:rFonts w:ascii="Times New Roman" w:eastAsia="Times New Roman" w:hAnsi="Times New Roman" w:cs="Times New Roman"/>
                <w:lang w:eastAsia="ru-RU"/>
              </w:rPr>
              <w:t>Зонд-7шт. Гинекологический зонд</w:t>
            </w:r>
            <w:proofErr w:type="gramStart"/>
            <w:r w:rsidRPr="007A3D1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A3D11">
              <w:rPr>
                <w:rFonts w:ascii="Times New Roman" w:eastAsia="Times New Roman" w:hAnsi="Times New Roman" w:cs="Times New Roman"/>
                <w:lang w:eastAsia="ru-RU"/>
              </w:rPr>
              <w:t xml:space="preserve"> жесткий,  изогнутый. Будет иметь плоскую, слабоизогнутую ручку длиной 80±2 мм, с тремя продольными канавками в верхней части. Рабочая часть инструмента 240±3 мм,  Ø 4±0,2 мм. Общая длина инструмента 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менее 315 мм и не более 325 мм. Будет иметь градуировки. Материал изготовления: высоколегированная нержавеющая сталь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антибликовом (матовом) исполнении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показателями твердости не менее 57 единиц по шкале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Роквелла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Маркировка будет выполнена лазерным способом и будет включать в себя наименование или фирменный знак производителя, каталожный номер, индивидуальный номер партии. Инструмент будет иметь инструкцию на русском и казахском языках. Гарантийный срок эксплуатации - не менее 1 года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етрактор-7шт. Ретрактор для зеркала гинекологического, будет изготовлен из цельной металлической пластины, рабочая часть  изогнута под углом 80ᴼ относительно рукоятки. Форма рабочей части плоская с закруглённым концом длиной 115±2 мм, шириной 26±2 мм. Рукоятка крючкообразная загнутая в сторону рабочей части. Общая длина не менее 205 мм и не более 215 мм. Материал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изготовления: высоколегированная нержавеющая сталь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антибликовом (матовом) исполнении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показателями твердости не менее 57 единиц по шкале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Роквелла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Маркировка будет выполнена лазерным способом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включать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себя наименование или фирменный знак производителя, каталожный номер, индивидуальный номер партии. Инструмент будет иметь инструкцию на русском и казахском языках. Гарантийный срок эксплуатации - не менее 1 года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етрактор-1шт. Ретрактор для зеркала гинекологического, будет изготовлен из цельной металлической пластины, рабочая часть  изогнута под углом 80ᴼ относительно рукоятки. Форма рабочей части плоская с закруглённым концом длиной 115±2 мм, шириной 32±2 мм. Рукоятка крючкообразная загнутая в сторону рабочей части. Общая длина не менее 205 мм и не более 215 мм. Материал изготовления: высоколегированная нержавеющая сталь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антибликовом (матовом) исполнении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показателями твердости не менее 57 единиц по шкале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Роквелла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Маркировка будет выполнена лазерным способом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включать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себя наименование или фирменный знак производителя, каталожный номер, индивидуальный номер партии. Инструмент будет иметь индивидуальную упаковку и инструкцию на русском  и казахском языках. Гарантийный срок эксплуатации - не менее 1 года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юретка-7шт.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Кюретка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маточная будет с острой петлеобразной рабочей частью, ширина петли 8±0,2 мм, длина 17±1 мм. Рабочая длина 195±3 мм. Рукоятка квадратного сечения со скруглёнными углами, шириной 17,5±1 мм, пустотелая в верхней части, будет иметь три продольных канавки и овальное углубление для пальца, остальные 3 стороны по три продольных канавки. Общая длина инструмента не менее 305 мм и не более 315 мм. Материал изготовления: высоколегированная нержавеющая сталь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антибликовом (матовом) исполнении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показателями твердости не менее 57 единиц по шкале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Роквелла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Маркировка будет выполнена лазерным способом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включать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себя наименование или фирменный знак производителя, каталожный номер, индивидуальный номер партии. Инструмент будет иметь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инструкцию на русском и казахском языках. Гарантийный срок эксплуатации - не менее 1 года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юретка-7шт.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Кюретка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маточная, будет с острой петлеобразной рабочей частью, ширина петли 11±0,2 мм, длина 24±1 мм. Рабочая длина 195±3 мм. Рукоятка квадратного сечения со скруглёнными углами, шириной 17,5±1 мм, пустотелая в верхней части будет иметь три продольных канавки и овальное углубление для пальца, остальные 3 стороны по три продольных канавки. Общая длина инструмента не менее 305 мм и не более 315 мм. Материал изготовления: высоколегированная нержавеющая сталь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антибликовом (матовом) исполнении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показателями твердости не менее 57 единиц по шкале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Роквелла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Маркировка будет   выполнена лазерным способом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включать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себя наименование или фирменный знак производителя, каталожный номер, индивидуальный номер партии. Инструмент будет иметь инструкцию на русском и казахском языках. Гарантийный срок эксплуатации - не менее 1 года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юретка-7шт.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Кюретка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маточная, будет   с острой петлеобразной рабочей частью, ширина петли 14±0,2 мм, длина 33±1 мм. Рабочая длина 195±3 мм. Рукоятка квадратного сечения со скруглёнными углами, шириной 17,5±1 мм, пустотелая будет иметь три продольных канавки и овальное углубление для пальца в верхней части, остальные 3 стороны по три продольных канавки. Общая длина инструмента не менее 305 мм и не более 315 мм. Материал изготовления: высоколегированная нержавеющая сталь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антибликовом (матовом) исполнении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показателями твердости не менее 57 единиц по шкале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Роквелла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Маркировка будет выполнена лазерным способом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включать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себя наименование или фирменный знак производителя, каталожный номер, индивидуальный номер партии. Инструмент будет иметь инструкцию на русском и казахском языках. Гарантийный срок эксплуатации - не менее 1 года.</w:t>
            </w:r>
          </w:p>
        </w:tc>
        <w:tc>
          <w:tcPr>
            <w:tcW w:w="992" w:type="dxa"/>
            <w:vAlign w:val="center"/>
          </w:tcPr>
          <w:p w14:paraId="62501A63" w14:textId="3B9AFF21" w:rsidR="00432CDA" w:rsidRPr="00696B64" w:rsidRDefault="00432CDA" w:rsidP="00432C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36113E5A" w14:textId="0F887922" w:rsidR="00432CDA" w:rsidRPr="00696B64" w:rsidRDefault="00432CDA" w:rsidP="00432C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набор</w:t>
            </w:r>
          </w:p>
        </w:tc>
        <w:tc>
          <w:tcPr>
            <w:tcW w:w="1418" w:type="dxa"/>
            <w:vAlign w:val="center"/>
          </w:tcPr>
          <w:p w14:paraId="4E91DC3C" w14:textId="0DA7D673" w:rsidR="00432CDA" w:rsidRPr="00432CDA" w:rsidRDefault="00432CDA" w:rsidP="00432C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5 430 000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,00</w:t>
            </w:r>
          </w:p>
        </w:tc>
        <w:tc>
          <w:tcPr>
            <w:tcW w:w="1559" w:type="dxa"/>
            <w:vAlign w:val="center"/>
          </w:tcPr>
          <w:p w14:paraId="4CBAC5F5" w14:textId="4ED4C18B" w:rsidR="00432CDA" w:rsidRPr="00432CDA" w:rsidRDefault="00432CDA" w:rsidP="00432CDA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5 430 000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,00</w:t>
            </w:r>
          </w:p>
        </w:tc>
      </w:tr>
    </w:tbl>
    <w:p w14:paraId="502BF6ED" w14:textId="77777777" w:rsidR="00484830" w:rsidRDefault="00484830" w:rsidP="004244CE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E5CE7B4" w14:textId="77777777" w:rsidR="00696B64" w:rsidRDefault="00696B64" w:rsidP="004244CE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287A084" w14:textId="77777777" w:rsidR="00315092" w:rsidRDefault="00315092" w:rsidP="004244CE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0F5B3E8" w14:textId="77777777" w:rsidR="00432CDA" w:rsidRDefault="00432CDA" w:rsidP="004244CE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25369A9" w14:textId="1A0EDF3C" w:rsidR="00326879" w:rsidRPr="00484830" w:rsidRDefault="00484830" w:rsidP="00484830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1)</w:t>
      </w:r>
      <w:r w:rsidR="00107041" w:rsidRPr="00484830">
        <w:rPr>
          <w:rFonts w:ascii="Times New Roman" w:hAnsi="Times New Roman"/>
          <w:b/>
          <w:sz w:val="24"/>
          <w:szCs w:val="24"/>
          <w:lang w:val="kk-KZ"/>
        </w:rPr>
        <w:t>Условия поставки:</w:t>
      </w:r>
    </w:p>
    <w:p w14:paraId="62AE45E1" w14:textId="73B2C6D0" w:rsidR="00107041" w:rsidRPr="00107041" w:rsidRDefault="00107041" w:rsidP="00107041">
      <w:pPr>
        <w:spacing w:after="0" w:line="240" w:lineRule="auto"/>
        <w:ind w:left="-993" w:firstLine="709"/>
        <w:rPr>
          <w:rStyle w:val="s0"/>
          <w:b/>
          <w:sz w:val="24"/>
          <w:szCs w:val="24"/>
        </w:rPr>
      </w:pPr>
      <w:r w:rsidRPr="0010704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Pr="00107041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107041">
        <w:rPr>
          <w:rFonts w:ascii="Times New Roman" w:hAnsi="Times New Roman"/>
          <w:spacing w:val="2"/>
          <w:sz w:val="24"/>
          <w:szCs w:val="24"/>
        </w:rPr>
        <w:t>0 в течении пяти календарных дней с момента получения заявки от заказчика  (</w:t>
      </w:r>
      <w:r w:rsidRPr="0010704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107041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6165CA">
        <w:rPr>
          <w:rFonts w:ascii="Times New Roman" w:hAnsi="Times New Roman"/>
          <w:sz w:val="24"/>
          <w:szCs w:val="24"/>
        </w:rPr>
        <w:t>Акан</w:t>
      </w:r>
      <w:proofErr w:type="spellEnd"/>
      <w:r w:rsidR="006165CA">
        <w:rPr>
          <w:rFonts w:ascii="Times New Roman" w:hAnsi="Times New Roman"/>
          <w:sz w:val="24"/>
          <w:szCs w:val="24"/>
        </w:rPr>
        <w:t xml:space="preserve"> Серы 36А</w:t>
      </w:r>
      <w:r w:rsidRPr="00107041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Pr="00107041">
        <w:rPr>
          <w:rStyle w:val="s0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  <w:proofErr w:type="gramEnd"/>
    </w:p>
    <w:p w14:paraId="28C68370" w14:textId="2A8E8B90" w:rsidR="00107041" w:rsidRPr="00484830" w:rsidRDefault="00107041" w:rsidP="00484830">
      <w:pPr>
        <w:pStyle w:val="af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4830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Квалификационные требования, предъявляемые к потенциальному поставщику должны соответствовать Правил</w:t>
      </w:r>
      <w:r w:rsidRPr="00484830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ам</w:t>
      </w:r>
      <w:r w:rsidRPr="00484830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</w:t>
      </w:r>
    </w:p>
    <w:p w14:paraId="62AD2166" w14:textId="32F805EB" w:rsidR="00107041" w:rsidRPr="00107041" w:rsidRDefault="00107041" w:rsidP="00484830">
      <w:pPr>
        <w:pStyle w:val="a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107041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Pr="00107041">
        <w:rPr>
          <w:b/>
          <w:color w:val="000000"/>
          <w:spacing w:val="2"/>
          <w:shd w:val="clear" w:color="auto" w:fill="FFFFFF"/>
          <w:lang w:val="kk-KZ"/>
        </w:rPr>
        <w:t>ам</w:t>
      </w:r>
      <w:r w:rsidRPr="00107041">
        <w:rPr>
          <w:b/>
          <w:color w:val="000000"/>
          <w:spacing w:val="2"/>
          <w:shd w:val="clear" w:color="auto" w:fill="FFFFFF"/>
        </w:rPr>
        <w:t xml:space="preserve">.  </w:t>
      </w:r>
    </w:p>
    <w:p w14:paraId="26E72B5C" w14:textId="77777777" w:rsidR="00107041" w:rsidRPr="00107041" w:rsidRDefault="00107041" w:rsidP="00107041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107041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107041">
        <w:rPr>
          <w:rStyle w:val="s0"/>
          <w:b/>
          <w:sz w:val="24"/>
          <w:szCs w:val="24"/>
        </w:rPr>
        <w:t>запечатанном виде</w:t>
      </w:r>
      <w:r w:rsidRPr="00107041">
        <w:rPr>
          <w:rStyle w:val="s0"/>
          <w:sz w:val="24"/>
          <w:szCs w:val="24"/>
        </w:rPr>
        <w:t xml:space="preserve">. 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71221" w14:textId="77777777" w:rsidR="003626C5" w:rsidRDefault="003626C5" w:rsidP="00862FDC">
      <w:pPr>
        <w:spacing w:after="0" w:line="240" w:lineRule="auto"/>
      </w:pPr>
      <w:r>
        <w:separator/>
      </w:r>
    </w:p>
  </w:endnote>
  <w:endnote w:type="continuationSeparator" w:id="0">
    <w:p w14:paraId="54D1C134" w14:textId="77777777" w:rsidR="003626C5" w:rsidRDefault="003626C5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4339B" w14:textId="77777777" w:rsidR="003626C5" w:rsidRDefault="003626C5" w:rsidP="00862FDC">
      <w:pPr>
        <w:spacing w:after="0" w:line="240" w:lineRule="auto"/>
      </w:pPr>
      <w:r>
        <w:separator/>
      </w:r>
    </w:p>
  </w:footnote>
  <w:footnote w:type="continuationSeparator" w:id="0">
    <w:p w14:paraId="7F6B3C1E" w14:textId="77777777" w:rsidR="003626C5" w:rsidRDefault="003626C5" w:rsidP="0086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94C6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1547"/>
    <w:multiLevelType w:val="hybridMultilevel"/>
    <w:tmpl w:val="6A802C3C"/>
    <w:lvl w:ilvl="0" w:tplc="56380B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C6A55"/>
    <w:multiLevelType w:val="hybridMultilevel"/>
    <w:tmpl w:val="39BA238A"/>
    <w:lvl w:ilvl="0" w:tplc="6C707094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52CC0"/>
    <w:multiLevelType w:val="hybridMultilevel"/>
    <w:tmpl w:val="A1107B94"/>
    <w:lvl w:ilvl="0" w:tplc="724C6350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AAA"/>
    <w:rsid w:val="000035A6"/>
    <w:rsid w:val="000051A8"/>
    <w:rsid w:val="000107B2"/>
    <w:rsid w:val="000139F0"/>
    <w:rsid w:val="0001467F"/>
    <w:rsid w:val="00015B37"/>
    <w:rsid w:val="000203B4"/>
    <w:rsid w:val="00023057"/>
    <w:rsid w:val="00026F35"/>
    <w:rsid w:val="00034A0E"/>
    <w:rsid w:val="00034DFC"/>
    <w:rsid w:val="00042488"/>
    <w:rsid w:val="00047D95"/>
    <w:rsid w:val="000663C4"/>
    <w:rsid w:val="0008200B"/>
    <w:rsid w:val="000829C7"/>
    <w:rsid w:val="00086EE5"/>
    <w:rsid w:val="00090ABE"/>
    <w:rsid w:val="00091966"/>
    <w:rsid w:val="00095188"/>
    <w:rsid w:val="000A0585"/>
    <w:rsid w:val="000A2E18"/>
    <w:rsid w:val="000A3C61"/>
    <w:rsid w:val="000A3DF6"/>
    <w:rsid w:val="000A5231"/>
    <w:rsid w:val="000A5B12"/>
    <w:rsid w:val="000A6888"/>
    <w:rsid w:val="000B0B90"/>
    <w:rsid w:val="000B7ECD"/>
    <w:rsid w:val="000C164F"/>
    <w:rsid w:val="000D30C8"/>
    <w:rsid w:val="000E09CD"/>
    <w:rsid w:val="000E0A2D"/>
    <w:rsid w:val="000E41C8"/>
    <w:rsid w:val="000F52E6"/>
    <w:rsid w:val="00100BBA"/>
    <w:rsid w:val="00102B76"/>
    <w:rsid w:val="00107041"/>
    <w:rsid w:val="0011108B"/>
    <w:rsid w:val="001267C1"/>
    <w:rsid w:val="00126BFB"/>
    <w:rsid w:val="00131EBB"/>
    <w:rsid w:val="0014772B"/>
    <w:rsid w:val="0015005D"/>
    <w:rsid w:val="00151EF8"/>
    <w:rsid w:val="00160514"/>
    <w:rsid w:val="00167ECB"/>
    <w:rsid w:val="001702F0"/>
    <w:rsid w:val="00171FCA"/>
    <w:rsid w:val="00175C95"/>
    <w:rsid w:val="001767ED"/>
    <w:rsid w:val="00177776"/>
    <w:rsid w:val="00184652"/>
    <w:rsid w:val="00184842"/>
    <w:rsid w:val="00187C5E"/>
    <w:rsid w:val="00190174"/>
    <w:rsid w:val="00197E8F"/>
    <w:rsid w:val="001A3F59"/>
    <w:rsid w:val="001A6DDE"/>
    <w:rsid w:val="001B0796"/>
    <w:rsid w:val="001B5916"/>
    <w:rsid w:val="001B628D"/>
    <w:rsid w:val="001D3AC4"/>
    <w:rsid w:val="001D433D"/>
    <w:rsid w:val="001E1D4F"/>
    <w:rsid w:val="001E255C"/>
    <w:rsid w:val="001E4AE6"/>
    <w:rsid w:val="001E70E0"/>
    <w:rsid w:val="001E7A94"/>
    <w:rsid w:val="001F07E3"/>
    <w:rsid w:val="001F2578"/>
    <w:rsid w:val="001F28CB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45A9D"/>
    <w:rsid w:val="00251FDF"/>
    <w:rsid w:val="00252227"/>
    <w:rsid w:val="002631A0"/>
    <w:rsid w:val="00264751"/>
    <w:rsid w:val="002651D4"/>
    <w:rsid w:val="00273883"/>
    <w:rsid w:val="0027427F"/>
    <w:rsid w:val="002833F1"/>
    <w:rsid w:val="002966C2"/>
    <w:rsid w:val="0029766B"/>
    <w:rsid w:val="002A242C"/>
    <w:rsid w:val="002A5196"/>
    <w:rsid w:val="002B6651"/>
    <w:rsid w:val="002C4BE0"/>
    <w:rsid w:val="002D4927"/>
    <w:rsid w:val="002E3D1F"/>
    <w:rsid w:val="002E3D71"/>
    <w:rsid w:val="00301BC5"/>
    <w:rsid w:val="00303BB9"/>
    <w:rsid w:val="00304889"/>
    <w:rsid w:val="0031163A"/>
    <w:rsid w:val="00315092"/>
    <w:rsid w:val="00323272"/>
    <w:rsid w:val="0032393D"/>
    <w:rsid w:val="00326879"/>
    <w:rsid w:val="00332B99"/>
    <w:rsid w:val="00332F0E"/>
    <w:rsid w:val="00340B22"/>
    <w:rsid w:val="0034358C"/>
    <w:rsid w:val="00344D63"/>
    <w:rsid w:val="00345186"/>
    <w:rsid w:val="00347ED8"/>
    <w:rsid w:val="00350121"/>
    <w:rsid w:val="00350561"/>
    <w:rsid w:val="00353531"/>
    <w:rsid w:val="00361E91"/>
    <w:rsid w:val="003621F0"/>
    <w:rsid w:val="003626C5"/>
    <w:rsid w:val="00364BA0"/>
    <w:rsid w:val="00366236"/>
    <w:rsid w:val="00370DAC"/>
    <w:rsid w:val="003740F6"/>
    <w:rsid w:val="003C3265"/>
    <w:rsid w:val="003C7F24"/>
    <w:rsid w:val="003D21C9"/>
    <w:rsid w:val="003D3738"/>
    <w:rsid w:val="003D79EE"/>
    <w:rsid w:val="003E4952"/>
    <w:rsid w:val="003F03E3"/>
    <w:rsid w:val="003F2394"/>
    <w:rsid w:val="003F3355"/>
    <w:rsid w:val="003F3797"/>
    <w:rsid w:val="003F6DC4"/>
    <w:rsid w:val="0041264E"/>
    <w:rsid w:val="00412694"/>
    <w:rsid w:val="00413D05"/>
    <w:rsid w:val="0041478B"/>
    <w:rsid w:val="004244CE"/>
    <w:rsid w:val="004313B5"/>
    <w:rsid w:val="004319B1"/>
    <w:rsid w:val="00431EBC"/>
    <w:rsid w:val="00432CDA"/>
    <w:rsid w:val="00452180"/>
    <w:rsid w:val="004539C0"/>
    <w:rsid w:val="00457EEA"/>
    <w:rsid w:val="004669F0"/>
    <w:rsid w:val="00477371"/>
    <w:rsid w:val="00484830"/>
    <w:rsid w:val="00485BA8"/>
    <w:rsid w:val="00491156"/>
    <w:rsid w:val="004A6CA0"/>
    <w:rsid w:val="004C1546"/>
    <w:rsid w:val="004D6C83"/>
    <w:rsid w:val="004E115C"/>
    <w:rsid w:val="004E729A"/>
    <w:rsid w:val="004F3AFD"/>
    <w:rsid w:val="004F4E3E"/>
    <w:rsid w:val="00503FCC"/>
    <w:rsid w:val="0050495E"/>
    <w:rsid w:val="005057A0"/>
    <w:rsid w:val="00506E23"/>
    <w:rsid w:val="005117D5"/>
    <w:rsid w:val="00511AAE"/>
    <w:rsid w:val="0052142E"/>
    <w:rsid w:val="00526F67"/>
    <w:rsid w:val="0053186F"/>
    <w:rsid w:val="00532607"/>
    <w:rsid w:val="00537435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5327"/>
    <w:rsid w:val="005B6E70"/>
    <w:rsid w:val="005C3D3C"/>
    <w:rsid w:val="005D0D99"/>
    <w:rsid w:val="005D63D8"/>
    <w:rsid w:val="005E2E1C"/>
    <w:rsid w:val="005E71CB"/>
    <w:rsid w:val="005F1496"/>
    <w:rsid w:val="005F3B50"/>
    <w:rsid w:val="005F4D7D"/>
    <w:rsid w:val="00611EE6"/>
    <w:rsid w:val="006165CA"/>
    <w:rsid w:val="006257EE"/>
    <w:rsid w:val="00633DB2"/>
    <w:rsid w:val="00642D9A"/>
    <w:rsid w:val="00663608"/>
    <w:rsid w:val="00665511"/>
    <w:rsid w:val="00673F11"/>
    <w:rsid w:val="00676F90"/>
    <w:rsid w:val="00680B46"/>
    <w:rsid w:val="00690A37"/>
    <w:rsid w:val="00696B64"/>
    <w:rsid w:val="006A01F5"/>
    <w:rsid w:val="006A2533"/>
    <w:rsid w:val="006B0BD8"/>
    <w:rsid w:val="006B25EE"/>
    <w:rsid w:val="006B7BCB"/>
    <w:rsid w:val="006C2FD4"/>
    <w:rsid w:val="006D121E"/>
    <w:rsid w:val="006D13C5"/>
    <w:rsid w:val="006E3A2A"/>
    <w:rsid w:val="006E712D"/>
    <w:rsid w:val="006E7ABC"/>
    <w:rsid w:val="006F691E"/>
    <w:rsid w:val="006F7E17"/>
    <w:rsid w:val="00711D99"/>
    <w:rsid w:val="007177FD"/>
    <w:rsid w:val="00723EEC"/>
    <w:rsid w:val="00727010"/>
    <w:rsid w:val="0072703D"/>
    <w:rsid w:val="00735541"/>
    <w:rsid w:val="00737FB1"/>
    <w:rsid w:val="00740277"/>
    <w:rsid w:val="00752887"/>
    <w:rsid w:val="00756E2C"/>
    <w:rsid w:val="007600A7"/>
    <w:rsid w:val="00762EE0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1CE0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233B3"/>
    <w:rsid w:val="00843CFC"/>
    <w:rsid w:val="00844555"/>
    <w:rsid w:val="0085383D"/>
    <w:rsid w:val="008608F8"/>
    <w:rsid w:val="00862FDC"/>
    <w:rsid w:val="0086513A"/>
    <w:rsid w:val="00865544"/>
    <w:rsid w:val="00874C04"/>
    <w:rsid w:val="008823BA"/>
    <w:rsid w:val="00883BFA"/>
    <w:rsid w:val="00890881"/>
    <w:rsid w:val="00892E92"/>
    <w:rsid w:val="008B0431"/>
    <w:rsid w:val="008B3056"/>
    <w:rsid w:val="008C20D2"/>
    <w:rsid w:val="008C4FD2"/>
    <w:rsid w:val="008C5B38"/>
    <w:rsid w:val="008C7377"/>
    <w:rsid w:val="008D2F18"/>
    <w:rsid w:val="008E51ED"/>
    <w:rsid w:val="008E6435"/>
    <w:rsid w:val="008F0EFC"/>
    <w:rsid w:val="008F4AC1"/>
    <w:rsid w:val="008F4C49"/>
    <w:rsid w:val="008F4E6D"/>
    <w:rsid w:val="00905355"/>
    <w:rsid w:val="00915514"/>
    <w:rsid w:val="0091562F"/>
    <w:rsid w:val="0091652D"/>
    <w:rsid w:val="009226EF"/>
    <w:rsid w:val="00937C7F"/>
    <w:rsid w:val="00946AAB"/>
    <w:rsid w:val="00954C83"/>
    <w:rsid w:val="0097175F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B7164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3AF"/>
    <w:rsid w:val="009F7D18"/>
    <w:rsid w:val="00A00B6F"/>
    <w:rsid w:val="00A032B8"/>
    <w:rsid w:val="00A35352"/>
    <w:rsid w:val="00A41F42"/>
    <w:rsid w:val="00A4251D"/>
    <w:rsid w:val="00A57C54"/>
    <w:rsid w:val="00A603C1"/>
    <w:rsid w:val="00A64481"/>
    <w:rsid w:val="00A679DE"/>
    <w:rsid w:val="00A72E4A"/>
    <w:rsid w:val="00A75C0D"/>
    <w:rsid w:val="00A82977"/>
    <w:rsid w:val="00A84D7D"/>
    <w:rsid w:val="00A877CB"/>
    <w:rsid w:val="00A87C63"/>
    <w:rsid w:val="00AA4A4D"/>
    <w:rsid w:val="00AA7F18"/>
    <w:rsid w:val="00AB126E"/>
    <w:rsid w:val="00AB6AC5"/>
    <w:rsid w:val="00AC0309"/>
    <w:rsid w:val="00AC3285"/>
    <w:rsid w:val="00AD74D6"/>
    <w:rsid w:val="00AE53D1"/>
    <w:rsid w:val="00AF2489"/>
    <w:rsid w:val="00AF4CA8"/>
    <w:rsid w:val="00AF6283"/>
    <w:rsid w:val="00AF7AFF"/>
    <w:rsid w:val="00B07A1F"/>
    <w:rsid w:val="00B20F89"/>
    <w:rsid w:val="00B21F56"/>
    <w:rsid w:val="00B26380"/>
    <w:rsid w:val="00B470E0"/>
    <w:rsid w:val="00B5453D"/>
    <w:rsid w:val="00B54AB6"/>
    <w:rsid w:val="00B63676"/>
    <w:rsid w:val="00B6571D"/>
    <w:rsid w:val="00B73A24"/>
    <w:rsid w:val="00B772D0"/>
    <w:rsid w:val="00B82070"/>
    <w:rsid w:val="00BA1A77"/>
    <w:rsid w:val="00BA649E"/>
    <w:rsid w:val="00BB4A56"/>
    <w:rsid w:val="00BB4B76"/>
    <w:rsid w:val="00BB5115"/>
    <w:rsid w:val="00BC5A23"/>
    <w:rsid w:val="00BC5EE3"/>
    <w:rsid w:val="00BD3362"/>
    <w:rsid w:val="00BD36D4"/>
    <w:rsid w:val="00BE0043"/>
    <w:rsid w:val="00BE0D53"/>
    <w:rsid w:val="00BE35F6"/>
    <w:rsid w:val="00BE55B2"/>
    <w:rsid w:val="00BF2034"/>
    <w:rsid w:val="00BF2286"/>
    <w:rsid w:val="00BF727D"/>
    <w:rsid w:val="00C06870"/>
    <w:rsid w:val="00C06F86"/>
    <w:rsid w:val="00C07A1C"/>
    <w:rsid w:val="00C118C1"/>
    <w:rsid w:val="00C120F0"/>
    <w:rsid w:val="00C124E1"/>
    <w:rsid w:val="00C13033"/>
    <w:rsid w:val="00C37405"/>
    <w:rsid w:val="00C37680"/>
    <w:rsid w:val="00C40402"/>
    <w:rsid w:val="00C47CFE"/>
    <w:rsid w:val="00C62393"/>
    <w:rsid w:val="00C639C2"/>
    <w:rsid w:val="00C64AC3"/>
    <w:rsid w:val="00C67B49"/>
    <w:rsid w:val="00C72100"/>
    <w:rsid w:val="00C776C6"/>
    <w:rsid w:val="00C77D23"/>
    <w:rsid w:val="00C805EA"/>
    <w:rsid w:val="00C93C84"/>
    <w:rsid w:val="00C961E2"/>
    <w:rsid w:val="00CA09D6"/>
    <w:rsid w:val="00CA35B2"/>
    <w:rsid w:val="00CA36E0"/>
    <w:rsid w:val="00CA6BC6"/>
    <w:rsid w:val="00CB6AFE"/>
    <w:rsid w:val="00CC07D2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3FB2"/>
    <w:rsid w:val="00D85CFC"/>
    <w:rsid w:val="00DA79E9"/>
    <w:rsid w:val="00DB2981"/>
    <w:rsid w:val="00DC2B70"/>
    <w:rsid w:val="00DC37AD"/>
    <w:rsid w:val="00DC44E2"/>
    <w:rsid w:val="00DD0895"/>
    <w:rsid w:val="00DD20FA"/>
    <w:rsid w:val="00DF41BD"/>
    <w:rsid w:val="00E02710"/>
    <w:rsid w:val="00E038DA"/>
    <w:rsid w:val="00E0393C"/>
    <w:rsid w:val="00E04EA2"/>
    <w:rsid w:val="00E11265"/>
    <w:rsid w:val="00E122DA"/>
    <w:rsid w:val="00E138A8"/>
    <w:rsid w:val="00E22B4D"/>
    <w:rsid w:val="00E31E78"/>
    <w:rsid w:val="00E37B75"/>
    <w:rsid w:val="00E51A89"/>
    <w:rsid w:val="00E575BC"/>
    <w:rsid w:val="00E6413C"/>
    <w:rsid w:val="00E64A1D"/>
    <w:rsid w:val="00E72C53"/>
    <w:rsid w:val="00E73CA9"/>
    <w:rsid w:val="00E76333"/>
    <w:rsid w:val="00EA0AFB"/>
    <w:rsid w:val="00EB2B2E"/>
    <w:rsid w:val="00EB6237"/>
    <w:rsid w:val="00EC4488"/>
    <w:rsid w:val="00ED1FB4"/>
    <w:rsid w:val="00ED7D39"/>
    <w:rsid w:val="00EE78F4"/>
    <w:rsid w:val="00EF31D3"/>
    <w:rsid w:val="00EF516D"/>
    <w:rsid w:val="00EF5332"/>
    <w:rsid w:val="00F04BD1"/>
    <w:rsid w:val="00F1316C"/>
    <w:rsid w:val="00F15D83"/>
    <w:rsid w:val="00F2263D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5637E"/>
    <w:rsid w:val="00F66FE0"/>
    <w:rsid w:val="00F70867"/>
    <w:rsid w:val="00F7456F"/>
    <w:rsid w:val="00F77545"/>
    <w:rsid w:val="00F77DF9"/>
    <w:rsid w:val="00F8219F"/>
    <w:rsid w:val="00F85FA7"/>
    <w:rsid w:val="00FA05B1"/>
    <w:rsid w:val="00FA5832"/>
    <w:rsid w:val="00FA7E7F"/>
    <w:rsid w:val="00FB1160"/>
    <w:rsid w:val="00FB2446"/>
    <w:rsid w:val="00FB2A98"/>
    <w:rsid w:val="00FB3E1D"/>
    <w:rsid w:val="00FC0393"/>
    <w:rsid w:val="00FC2773"/>
    <w:rsid w:val="00FC5FAE"/>
    <w:rsid w:val="00FD073F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54FF-0CB9-451B-942B-3A26B9E1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2</cp:revision>
  <cp:lastPrinted>2024-12-27T07:31:00Z</cp:lastPrinted>
  <dcterms:created xsi:type="dcterms:W3CDTF">2024-12-27T07:32:00Z</dcterms:created>
  <dcterms:modified xsi:type="dcterms:W3CDTF">2024-12-27T07:32:00Z</dcterms:modified>
</cp:coreProperties>
</file>